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196</w:t>
      </w:r>
    </w:p>
    <w:p>
      <w:r>
        <w:t>Bundesgericht (BGE), 2024-01-01, DE</w:t>
      </w:r>
    </w:p>
    <w:p>
      <w:r>
        <w:rPr>
          <w:b/>
        </w:rPr>
        <w:t xml:space="preserve">Quelle: </w:t>
      </w:r>
      <w:r>
        <w:t>https://mcp.opencaselaw.ch/entscheid/bge_150 IV 196</w:t>
      </w:r>
    </w:p>
    <w:p>
      <w:r>
        <w:t>FR: ATF 150 IV 196</w:t>
      </w:r>
    </w:p>
    <w:p>
      <w:r>
        <w:t>IT: DTF 150 IV 196</w:t>
      </w:r>
    </w:p>
    <w:p>
      <w:pPr>
        <w:pStyle w:val="Heading2"/>
      </w:pPr>
      <w:r>
        <w:t>Regeste</w:t>
      </w:r>
    </w:p>
    <w:p>
      <w:r>
        <w:t>Regeste Art. 316 StPO; Entschädigung bei Einstellung des Strafverfahrens durch Vergleich. Wollen sich die Parteien in einem Vergleich Entschädigungen zulasten der Staatskasse vorbehalten, bedarf dieser der Genehmigung der Behörden (E. 2.2).</w:t>
      </w:r>
    </w:p>
    <w:p>
      <w:pPr>
        <w:pStyle w:val="Heading2"/>
      </w:pPr>
      <w:r>
        <w:t>Erwägungen</w:t>
      </w:r>
    </w:p>
    <w:p>
      <w:r>
        <w:rPr>
          <w:b/>
        </w:rPr>
        <w:t>E. 2</w:t>
      </w:r>
    </w:p>
    <w:p>
      <w:r>
        <w:t>Die Beschwerdeführerin macht geltend, ihr stehe gestützt auf Art. 429 Abs. 1 lit. a StPO ein Entschädigungsanspruch zu.</w:t>
      </w:r>
    </w:p>
    <w:p>
      <w:r>
        <w:rPr>
          <w:b/>
        </w:rPr>
        <w:t>E. 2.1</w:t>
      </w:r>
    </w:p>
    <w:p>
      <w:r>
        <w:t>Wird die beschuldigte Person ganz oder teilweise freigesprochen oder wird das Verfahren gegen sie eingestellt, so hat sie gemäss Art. 429 Abs. 1 lit. a StPO Anspruch auf Entschädigung ihrer Aufwendungen für die angemessene Ausübung ihrer Verfahrensrechte. Die Bestimmung begründet eine Kausalhaftung des Staates. Dieser muss den gesamten Schaden wieder gutmachen, der mit dem Strafverfahren in einem adäquaten Kausalzusammenhang im Sinne des Haftpflichtrechts steht ( BGE 142 IV 237 E. 1.3.1; Urteile 7B_12/2022 vom 13. März 2024 E. 2.2; 7B_150/2023 vom 23. Oktober 2023 E. 3.1; je mit Hinweisen). Erfolgt die Verfahrenseinstellung auf einen Vergleich hin gestützt auf Art. 316 Abs. 3 StPO , passt Art. 429 Abs. 1 lit. a StPO als Anspruchsgrundlage eines Entschädigungsanspruchs gegenüber dem Staat nicht, da die Parteien üblicherweise im Vergleich die Entschädigungsfrage abschliessend regeln (vgl. Begleitbericht zum Vorentwurf für eine Schweizerische Strafprozessordnung [nachfolgend: BGE 150 IV 196 S. 199 Begleitbericht], 2001, S. 288; JOSITSCH/SCHMID, Schweizerische Strafprozessordnung [StPO], Praxiskommentar, 4. Aufl. 2023, N. 12 zu Art. 427 StPO ). Allerdings - und insoweit ist der Beschwerdeführerin zuzustimmen - enthält Art. 429 Abs. 1 lit. a StPO auch keinen Vorbehalt zugunsten des Falles einer Einstellung infolge eines Vergleichs nach Art. 316 StPO .</w:t>
      </w:r>
    </w:p>
    <w:p>
      <w:r>
        <w:rPr>
          <w:b/>
        </w:rPr>
        <w:t>E. 2.2</w:t>
      </w:r>
    </w:p>
    <w:p>
      <w:r>
        <w:t>Demgegenüber ist die Regelung von Art. 427 Abs. 3 StPO ausdrücklich auf den Fall eines Vergleichs nach Art. 316 StPO zugeschnitten: Danach trägt in der Regel der Bund oder der Kanton die Verfahrenskosten, wenn die antragstellende Person im Rahmen eines durch die Staatsanwaltschaft vermittelten Vergleichs den Strafantrag zurückzieht. Damit soll die Bereitschaft der Beteiligten zur Zustimmung zu einem durch die Staatsanwaltschaft vorgeschlagenen Vergleich gefördert werden (Begleitbericht, a.a.O., S. 288). Gemäss Art. 427 Abs. 4 StPO bedarf sodann eine Vereinbarung zwischen der antragstellenden und der beschuldigten Person über die Kostentragung beim Rückzug des Strafantrags der Genehmigung der Behörde, welche die Einstellung verfügt; die Vereinbarung darf sich nicht zulasten des Bundes oder des Kantons auswirken. Bei der Vereinheitlichung des Strafprozessrechts wurde dieser Genehmigungsvorhalt vorgeschlagen, damit es die Parteien nicht in der Hand haben, durch Abschluss einer solchen Vereinbarung die Kostenpflicht z.B. einer zahlungsunfähigen Partei zuzuschieben und so den Staat um die ihm zustehenden Verfahrenskosten zu prellen (Begleitbericht, a.a.O., S. 288), bzw. die Kostenpflicht gar dem Staat aufzuerlegen. Hierin kommt der Grundsatz zum Ausdruck, dass Vereinbarungen nicht zulasten eines Dritten - hier des Staates - abgeschlossen werden können ("alteri stipulari nemo potest"). Sowohl Abs. 3 wie auch Abs. 4 von Art. 427 StPO beziehen sich dabei auf die Verfahrenskosten. In der Lehre zu dieser Bestimmung wird jedoch ein Zusammenhang zu den Entschädigungen hergestellt: So wird zutreffend ausgeführt, dass Abs. 3 Entschädigungen zugunsten der Parteien gerade nicht betrifft, diese mithin nicht vom Staat getragen werden (YVONA GRIESSER, in: Kommentar zur Schweizerischen Strafprozessordnung StPO, 3. Aufl. 2020, N. 12 zu Art. 427 StPO ), sondern sich die Parteien über die Auflage allfälliger Entschädigungen zu einigen haben (THOMAS DOMEISEN, in: Basler Kommentar, Schweizerische Strafprozessordnung, 3. Aufl. 2023, N. 16 zu Art. 427 StPO ). Die Regel von Abs. 4 kommt dabei auch auf Entschädigungen zur Anwendung: Die Parteien können Dritte oder den BGE 150 IV 196 S. 200 Staat ohne deren Einverständnis nicht mit zu leistenden Entschädigungen belasten (DOMEISEN, a.a.O., N. 17 zu Art. 427 StPO ; JOSITSCH/ SCHMID, a.a.O.). Aus dem Gesagten folgt, dass nicht nur das Schicksal der Kosten, sondern auch jenes der Entschädigung(en) im Vergleich zu regeln ist. Ein Vergleich bedarf der Genehmigung der Behörden, wenn die Parteien sich Entschädigungen zulasten des Staates vorbehalten wollen. Ansprüche gegen den Staat entstehen mithin nur im Falle eines von der Behörde genehmigten Vorbehalts einer Entschädigung zulasten der Staatskasse.</w:t>
      </w:r>
    </w:p>
    <w:p>
      <w:r>
        <w:rPr>
          <w:b/>
        </w:rPr>
        <w:t>E. 2.3</w:t>
      </w:r>
    </w:p>
    <w:p>
      <w:r>
        <w:t>Im vorliegenden Fall haben die Parteien in ihrem Vergleich eine Regelung über "weitergehende Schadenersatz- und Genugtuungsansprüche" getroffen. Einen Vorbehalt zugunsten von Entschädigungsansprüchen, die der Staat zu tragen hätte, geht aus dieser Regelung nicht hervor. Die Staatsanwaltschaft hat denn auch keinen solchen Vorbehalt zu ihren Lasten genehmigt. Damit sind aber weitergehende Entschädigungsansprüche zulasten des Staates ausgeschlossen. Dies umso mehr, als nach der Rechtsprechung zur Auslegung von Vergleichsverträgen im Allgemeinen Folgendes gilt: Wenn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 5A_89/ 2021 vom 29. August 2022 E. 5.6.2 mit zahlreichen Hinweisen auf die Judikatur). Nichts anderes gilt für die vorliegende Entschädigungsfrage, für die keine ausdrückliche Regelung im Sinne eines Vorbehalts zulasten des Staates getroffen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